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6AE02513" w14:textId="77777777" w:rsidR="001C101B"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p>
    <w:p w14:paraId="5EAE7BF2" w14:textId="06AE6187" w:rsidR="00BA06D4" w:rsidRPr="001C101B" w:rsidRDefault="001C101B" w:rsidP="00BF4413">
      <w:pPr>
        <w:pStyle w:val="Sansinterligne"/>
        <w:tabs>
          <w:tab w:val="right" w:pos="0"/>
        </w:tabs>
        <w:spacing w:before="480"/>
        <w:jc w:val="center"/>
        <w:rPr>
          <w:rFonts w:ascii="Arial" w:hAnsi="Arial" w:cs="Arial"/>
          <w:b/>
          <w:bCs/>
          <w:sz w:val="24"/>
          <w:szCs w:val="24"/>
        </w:rPr>
      </w:pPr>
      <w:r w:rsidRPr="001C101B">
        <w:rPr>
          <w:rFonts w:ascii="Arial" w:hAnsi="Arial" w:cs="Arial"/>
          <w:b/>
          <w:bCs/>
          <w:sz w:val="24"/>
          <w:szCs w:val="24"/>
        </w:rPr>
        <w:t>Marché public</w:t>
      </w:r>
      <w:r w:rsidR="00BA06D4" w:rsidRPr="001C101B">
        <w:rPr>
          <w:rFonts w:ascii="Arial" w:hAnsi="Arial" w:cs="Arial"/>
          <w:b/>
          <w:bCs/>
          <w:sz w:val="24"/>
          <w:szCs w:val="24"/>
        </w:rPr>
        <w:t xml:space="preserve"> relatif à </w:t>
      </w:r>
      <w:bookmarkEnd w:id="0"/>
      <w:r w:rsidRPr="001C101B">
        <w:rPr>
          <w:rFonts w:ascii="Arial" w:hAnsi="Arial" w:cs="Arial"/>
          <w:b/>
          <w:bCs/>
          <w:sz w:val="24"/>
          <w:szCs w:val="24"/>
        </w:rPr>
        <w:t>l’étude et à la réalisation du châssis support et des outillages associés au réchauffeur - Projet PASTIS – Installation ALCINA</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32086840" w:rsidR="00737146" w:rsidRPr="00A26426" w:rsidRDefault="00826432"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1C101B">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6FC5C9E9" w:rsidR="00737146" w:rsidRPr="00A26426" w:rsidRDefault="001C101B" w:rsidP="00651E0B">
            <w:pPr>
              <w:autoSpaceDE w:val="0"/>
              <w:autoSpaceDN w:val="0"/>
              <w:adjustRightInd w:val="0"/>
              <w:jc w:val="left"/>
              <w:rPr>
                <w:rFonts w:ascii="Arial" w:hAnsi="Arial" w:cs="Arial"/>
                <w:b/>
                <w:bCs/>
                <w:sz w:val="20"/>
                <w:szCs w:val="20"/>
              </w:rPr>
            </w:pPr>
            <w:r>
              <w:rPr>
                <w:rFonts w:ascii="Arial" w:hAnsi="Arial" w:cs="Arial"/>
                <w:b/>
                <w:bCs/>
                <w:sz w:val="20"/>
                <w:szCs w:val="20"/>
              </w:rPr>
              <w:t>ASNR/PSN-RES/SIPR</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C46889" w14:textId="4E5B65C2" w:rsidR="001C101B" w:rsidRPr="001C101B" w:rsidRDefault="00A845BF" w:rsidP="001C101B">
      <w:pPr>
        <w:rPr>
          <w:rFonts w:ascii="Arial" w:hAnsi="Arial" w:cs="Arial"/>
          <w:sz w:val="20"/>
          <w:szCs w:val="20"/>
        </w:rPr>
      </w:pPr>
      <w:r w:rsidRPr="003566E0">
        <w:rPr>
          <w:rFonts w:ascii="Arial" w:hAnsi="Arial" w:cs="Arial"/>
          <w:sz w:val="20"/>
          <w:szCs w:val="20"/>
        </w:rPr>
        <w:t>Le présent marché a pour objet</w:t>
      </w:r>
      <w:r w:rsidR="001C101B">
        <w:rPr>
          <w:rFonts w:ascii="Arial" w:hAnsi="Arial" w:cs="Arial"/>
          <w:sz w:val="20"/>
          <w:szCs w:val="20"/>
        </w:rPr>
        <w:t xml:space="preserve"> </w:t>
      </w:r>
      <w:r w:rsidR="001C101B" w:rsidRPr="001C101B">
        <w:rPr>
          <w:rFonts w:ascii="Arial" w:hAnsi="Arial" w:cs="Arial"/>
          <w:sz w:val="20"/>
          <w:szCs w:val="20"/>
        </w:rPr>
        <w:t>l’étude et</w:t>
      </w:r>
      <w:r w:rsidR="001C101B">
        <w:rPr>
          <w:rFonts w:ascii="Arial" w:hAnsi="Arial" w:cs="Arial"/>
          <w:sz w:val="20"/>
          <w:szCs w:val="20"/>
        </w:rPr>
        <w:t xml:space="preserve"> </w:t>
      </w:r>
      <w:r w:rsidR="001C101B" w:rsidRPr="001C101B">
        <w:rPr>
          <w:rFonts w:ascii="Arial" w:hAnsi="Arial" w:cs="Arial"/>
          <w:sz w:val="20"/>
          <w:szCs w:val="20"/>
        </w:rPr>
        <w:t>la réalisation du châssis support et des outillages associés au réchauffeur - Projet PASTIS – Installation ALCINA</w:t>
      </w:r>
      <w:r w:rsidR="001C101B">
        <w:rPr>
          <w:rFonts w:ascii="Arial" w:hAnsi="Arial" w:cs="Arial"/>
          <w:sz w:val="20"/>
          <w:szCs w:val="20"/>
        </w:rPr>
        <w:t>.</w:t>
      </w:r>
    </w:p>
    <w:p w14:paraId="64A79625" w14:textId="5DEB4EFF" w:rsidR="00983141" w:rsidRDefault="00983141" w:rsidP="00A456AC">
      <w:pPr>
        <w:spacing w:line="276" w:lineRule="auto"/>
        <w:rPr>
          <w:rFonts w:ascii="Arial" w:hAnsi="Arial" w:cs="Arial"/>
          <w:sz w:val="20"/>
          <w:szCs w:val="20"/>
        </w:rPr>
      </w:pP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4009B60C" w:rsidR="00394C8C" w:rsidRPr="001C101B" w:rsidRDefault="00394C8C" w:rsidP="001C101B">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 xml:space="preserve">acte d'engagement correspond à l’ensemble du marché public </w:t>
      </w:r>
    </w:p>
    <w:p w14:paraId="7A3780AD" w14:textId="77777777" w:rsidR="00394C8C" w:rsidRPr="00394C8C" w:rsidRDefault="00394C8C" w:rsidP="00394C8C">
      <w:pPr>
        <w:tabs>
          <w:tab w:val="left" w:pos="426"/>
          <w:tab w:val="left" w:pos="851"/>
        </w:tabs>
        <w:rPr>
          <w:rFonts w:ascii="Arial" w:hAnsi="Arial" w:cs="Arial"/>
          <w:sz w:val="20"/>
          <w:szCs w:val="20"/>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43166E66"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1C101B">
            <w:rPr>
              <w:rFonts w:ascii="Arial" w:hAnsi="Arial" w:cs="Arial"/>
              <w:sz w:val="20"/>
              <w:szCs w:val="20"/>
            </w:rPr>
            <w:t>(Décomposition du Prix Global Forfaitaire)</w:t>
          </w:r>
        </w:sdtContent>
      </w:sdt>
    </w:p>
    <w:p w14:paraId="72C1AFEE" w14:textId="517526DC"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1C101B" w:rsidRPr="001C101B">
        <w:rPr>
          <w:rFonts w:ascii="Arial" w:hAnsi="Arial" w:cs="Arial"/>
          <w:sz w:val="20"/>
          <w:szCs w:val="20"/>
        </w:rPr>
        <w:t>Le Cahier des clauses administratives particulières (CCAP) et son annexe</w:t>
      </w:r>
      <w:r w:rsidR="001C101B">
        <w:rPr>
          <w:rFonts w:ascii="Arial" w:hAnsi="Arial" w:cs="Arial"/>
          <w:sz w:val="20"/>
          <w:szCs w:val="20"/>
        </w:rPr>
        <w:t> :</w:t>
      </w:r>
    </w:p>
    <w:p w14:paraId="57CD1194" w14:textId="17398B38" w:rsidR="001C101B" w:rsidRPr="001C101B" w:rsidRDefault="001C101B" w:rsidP="001C101B">
      <w:pPr>
        <w:pStyle w:val="Paragraphedeliste"/>
        <w:numPr>
          <w:ilvl w:val="0"/>
          <w:numId w:val="41"/>
        </w:numPr>
        <w:rPr>
          <w:rFonts w:ascii="Arial" w:hAnsi="Arial" w:cs="Arial"/>
          <w:sz w:val="20"/>
          <w:szCs w:val="20"/>
        </w:rPr>
      </w:pPr>
      <w:r w:rsidRPr="001C101B">
        <w:rPr>
          <w:rFonts w:ascii="Arial" w:hAnsi="Arial" w:cs="Arial"/>
          <w:sz w:val="20"/>
          <w:szCs w:val="20"/>
        </w:rPr>
        <w:t>Annexe n°1 : Accès et coordonnées du site ASNR de Cadarache</w:t>
      </w:r>
    </w:p>
    <w:p w14:paraId="5CEB44CC" w14:textId="03693A37"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1C101B" w:rsidRPr="001C101B">
        <w:rPr>
          <w:rFonts w:ascii="Arial" w:hAnsi="Arial" w:cs="Arial"/>
          <w:sz w:val="20"/>
          <w:szCs w:val="20"/>
        </w:rPr>
        <w:t>Le Cahier des c</w:t>
      </w:r>
      <w:r w:rsidR="00826432">
        <w:rPr>
          <w:rFonts w:ascii="Arial" w:hAnsi="Arial" w:cs="Arial"/>
          <w:sz w:val="20"/>
          <w:szCs w:val="20"/>
        </w:rPr>
        <w:t>harges</w:t>
      </w:r>
    </w:p>
    <w:p w14:paraId="32D2EBC0" w14:textId="682972B8" w:rsidR="00826432" w:rsidRPr="00394C8C" w:rsidRDefault="00826432" w:rsidP="00826432">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Pr="00826432">
        <w:rPr>
          <w:rFonts w:ascii="Arial" w:hAnsi="Arial" w:cs="Arial"/>
          <w:sz w:val="20"/>
          <w:szCs w:val="20"/>
        </w:rPr>
        <w:t>Les « réponses aux questions des candidats sur le dossier de consultation » et les « précisions apportées par les soumissionnaires »</w:t>
      </w:r>
    </w:p>
    <w:p w14:paraId="51D33043" w14:textId="7BAC3F23"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w:t>
      </w:r>
      <w:r w:rsidR="00CC1A06">
        <w:rPr>
          <w:rFonts w:ascii="Arial" w:hAnsi="Arial" w:cs="Arial"/>
          <w:sz w:val="20"/>
          <w:szCs w:val="20"/>
        </w:rPr>
        <w:t xml:space="preserve"> </w:t>
      </w:r>
      <w:r w:rsidR="001C101B" w:rsidRPr="001C101B">
        <w:rPr>
          <w:rFonts w:ascii="Arial" w:hAnsi="Arial" w:cs="Arial"/>
          <w:sz w:val="20"/>
          <w:szCs w:val="20"/>
        </w:rPr>
        <w:t>Industriels</w:t>
      </w:r>
      <w:r w:rsidRPr="001C101B">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6021593A"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exécuter les travaux prestations demandées au prix </w:t>
      </w:r>
      <w:r w:rsidR="005A67CC">
        <w:rPr>
          <w:rFonts w:ascii="Arial" w:hAnsi="Arial" w:cs="Arial"/>
        </w:rPr>
        <w:t xml:space="preserve">global et </w:t>
      </w:r>
      <w:r w:rsidRPr="00394C8C">
        <w:rPr>
          <w:rFonts w:ascii="Arial" w:hAnsi="Arial" w:cs="Arial"/>
        </w:rPr>
        <w:t>forfaitaire initial indiqué ci-dessous</w:t>
      </w:r>
      <w:r w:rsidRPr="00394C8C">
        <w:rPr>
          <w:rStyle w:val="Appelnotedebasdep"/>
          <w:rFonts w:ascii="Arial" w:hAnsi="Arial" w:cs="Arial"/>
        </w:rPr>
        <w:footnoteReference w:id="1"/>
      </w:r>
      <w:r w:rsidRPr="00394C8C">
        <w:rPr>
          <w:rFonts w:ascii="Arial" w:hAnsi="Arial" w:cs="Arial"/>
        </w:rPr>
        <w:t> :</w:t>
      </w:r>
    </w:p>
    <w:p w14:paraId="3B0FBDA2" w14:textId="618D27C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65EAC5E8" w14:textId="77777777" w:rsidR="00394C8C" w:rsidRPr="00394C8C" w:rsidRDefault="00394C8C" w:rsidP="00394C8C">
      <w:pPr>
        <w:tabs>
          <w:tab w:val="left" w:pos="426"/>
          <w:tab w:val="left" w:pos="851"/>
        </w:tabs>
        <w:spacing w:before="120"/>
        <w:rPr>
          <w:rFonts w:ascii="Arial" w:hAnsi="Arial" w:cs="Arial"/>
          <w:sz w:val="20"/>
          <w:szCs w:val="20"/>
        </w:rPr>
      </w:pPr>
    </w:p>
    <w:p w14:paraId="7AB7338A" w14:textId="26CFBA63"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du marché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xml:space="preserve"> € TTC</w:t>
      </w:r>
    </w:p>
    <w:p w14:paraId="6141224D"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ou des prix forfaitaires indiqués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188687AF" w14:textId="77777777" w:rsidR="00394C8C" w:rsidRPr="00394C8C" w:rsidRDefault="00394C8C" w:rsidP="00394C8C">
      <w:pPr>
        <w:pStyle w:val="fcase1ertab"/>
        <w:tabs>
          <w:tab w:val="left" w:pos="851"/>
        </w:tabs>
        <w:ind w:left="0" w:firstLine="0"/>
        <w:rPr>
          <w:rFonts w:ascii="Arial" w:hAnsi="Arial" w:cs="Arial"/>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2561D2D6"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r w:rsidR="005A67CC">
        <w:rPr>
          <w:rFonts w:ascii="Arial" w:hAnsi="Arial" w:cs="Arial"/>
          <w:caps/>
          <w:sz w:val="24"/>
          <w:szCs w:val="24"/>
          <w:u w:val="none"/>
        </w:rPr>
        <w:t xml:space="preserve"> et delais d’EXECUTION</w:t>
      </w:r>
    </w:p>
    <w:bookmarkEnd w:id="6"/>
    <w:p w14:paraId="0EA8DD3A" w14:textId="30639B30" w:rsidR="005A67CC" w:rsidRPr="005A67CC" w:rsidRDefault="005A67CC" w:rsidP="005A67CC">
      <w:pPr>
        <w:rPr>
          <w:rFonts w:ascii="Arial" w:hAnsi="Arial" w:cs="Arial"/>
          <w:sz w:val="20"/>
          <w:szCs w:val="20"/>
        </w:rPr>
      </w:pPr>
      <w:r w:rsidRPr="005A67CC">
        <w:rPr>
          <w:rFonts w:ascii="Arial" w:hAnsi="Arial" w:cs="Arial"/>
          <w:sz w:val="20"/>
          <w:szCs w:val="20"/>
        </w:rPr>
        <w:t>Le marché est conclu à compter de sa date de notification et prendra fin à l'achèvement des prestations objets du présent marché.</w:t>
      </w:r>
    </w:p>
    <w:p w14:paraId="40AE485F" w14:textId="7F3BB389" w:rsidR="00A845BF" w:rsidRDefault="005A67CC" w:rsidP="005A67CC">
      <w:pPr>
        <w:rPr>
          <w:rFonts w:ascii="Arial" w:hAnsi="Arial" w:cs="Arial"/>
          <w:sz w:val="20"/>
          <w:szCs w:val="20"/>
        </w:rPr>
      </w:pPr>
      <w:r w:rsidRPr="005A67CC">
        <w:rPr>
          <w:rFonts w:ascii="Arial" w:hAnsi="Arial" w:cs="Arial"/>
          <w:sz w:val="20"/>
          <w:szCs w:val="20"/>
        </w:rPr>
        <w:t>Le commencement de l'exécution du marché est fixé à la date de notification, laquelle constitue le T0 du marché.</w:t>
      </w:r>
    </w:p>
    <w:p w14:paraId="08DAE68E" w14:textId="77777777" w:rsidR="005A67CC" w:rsidRDefault="005A67CC" w:rsidP="005A67CC">
      <w:pPr>
        <w:rPr>
          <w:rFonts w:ascii="Arial" w:hAnsi="Arial" w:cs="Arial"/>
          <w:sz w:val="20"/>
          <w:szCs w:val="20"/>
        </w:rPr>
      </w:pPr>
      <w:r w:rsidRPr="005A67CC">
        <w:rPr>
          <w:rFonts w:ascii="Arial" w:hAnsi="Arial" w:cs="Arial"/>
          <w:sz w:val="20"/>
          <w:szCs w:val="20"/>
        </w:rPr>
        <w:t>Le délai d’exécution des prestations est fixé comme suit :</w:t>
      </w:r>
    </w:p>
    <w:p w14:paraId="56B1DD57" w14:textId="77777777" w:rsidR="005A67CC" w:rsidRDefault="005A67CC" w:rsidP="005A67CC">
      <w:pPr>
        <w:pStyle w:val="Paragraphedeliste"/>
        <w:numPr>
          <w:ilvl w:val="0"/>
          <w:numId w:val="42"/>
        </w:numPr>
        <w:rPr>
          <w:rFonts w:ascii="Arial" w:hAnsi="Arial" w:cs="Arial"/>
          <w:sz w:val="20"/>
          <w:szCs w:val="20"/>
        </w:rPr>
      </w:pPr>
      <w:r w:rsidRPr="005A67CC">
        <w:rPr>
          <w:rFonts w:ascii="Arial" w:hAnsi="Arial" w:cs="Arial"/>
          <w:sz w:val="20"/>
          <w:szCs w:val="20"/>
          <w:u w:val="single"/>
        </w:rPr>
        <w:t>Châssis support</w:t>
      </w:r>
      <w:r w:rsidRPr="005A67CC">
        <w:rPr>
          <w:rFonts w:ascii="Arial" w:hAnsi="Arial" w:cs="Arial"/>
          <w:sz w:val="20"/>
          <w:szCs w:val="20"/>
        </w:rPr>
        <w:t xml:space="preserve"> : délai maximal de seize (16) semaines à compter de la date de notification du marché.</w:t>
      </w:r>
    </w:p>
    <w:p w14:paraId="4363062A" w14:textId="2465210E" w:rsidR="005A67CC" w:rsidRPr="005A67CC" w:rsidRDefault="005A67CC" w:rsidP="005A67CC">
      <w:pPr>
        <w:pStyle w:val="Paragraphedeliste"/>
        <w:numPr>
          <w:ilvl w:val="0"/>
          <w:numId w:val="42"/>
        </w:numPr>
        <w:rPr>
          <w:rFonts w:ascii="Arial" w:hAnsi="Arial" w:cs="Arial"/>
          <w:sz w:val="20"/>
          <w:szCs w:val="20"/>
        </w:rPr>
      </w:pPr>
      <w:r w:rsidRPr="005A67CC">
        <w:rPr>
          <w:rFonts w:ascii="Arial" w:hAnsi="Arial" w:cs="Arial"/>
          <w:sz w:val="20"/>
          <w:szCs w:val="20"/>
          <w:u w:val="single"/>
        </w:rPr>
        <w:t>Basculeur et banc de maintenance</w:t>
      </w:r>
      <w:r w:rsidRPr="005A67CC">
        <w:rPr>
          <w:rFonts w:ascii="Arial" w:hAnsi="Arial" w:cs="Arial"/>
          <w:sz w:val="20"/>
          <w:szCs w:val="20"/>
        </w:rPr>
        <w:t xml:space="preserve"> : délai maximal de vingt-quatre (24) semaines à compter de de la date de notification du marché.</w:t>
      </w:r>
    </w:p>
    <w:p w14:paraId="48F04BC1" w14:textId="77777777" w:rsidR="005A67CC" w:rsidRPr="005A67CC" w:rsidRDefault="005A67CC" w:rsidP="005A67CC">
      <w:pPr>
        <w:rPr>
          <w:rFonts w:ascii="Arial" w:hAnsi="Arial" w:cs="Arial"/>
          <w:sz w:val="20"/>
          <w:szCs w:val="20"/>
        </w:rPr>
      </w:pPr>
      <w:r w:rsidRPr="005A67CC">
        <w:rPr>
          <w:rFonts w:ascii="Arial" w:hAnsi="Arial" w:cs="Arial"/>
          <w:sz w:val="20"/>
          <w:szCs w:val="20"/>
        </w:rPr>
        <w:t>Ces délais comprennent l’ensemble des opérations nécessaires aux études, à la réalisation des prestations, aux essais, au transport et la remise du dossier constructeur.</w:t>
      </w:r>
    </w:p>
    <w:p w14:paraId="142FCF4D" w14:textId="4597046E" w:rsidR="005A67CC" w:rsidRPr="003566E0" w:rsidRDefault="005A67CC" w:rsidP="005A67CC">
      <w:pPr>
        <w:rPr>
          <w:rFonts w:ascii="Arial" w:hAnsi="Arial" w:cs="Arial"/>
          <w:sz w:val="20"/>
          <w:szCs w:val="20"/>
        </w:rPr>
      </w:pPr>
      <w:r w:rsidRPr="005A67CC">
        <w:rPr>
          <w:rFonts w:ascii="Arial" w:hAnsi="Arial" w:cs="Arial"/>
          <w:sz w:val="20"/>
          <w:szCs w:val="20"/>
        </w:rPr>
        <w:t>Toutefois, si le titulaire propose dans son offre un délai d’exécution inférieur à seize (16) semaines pour le châssis support ou inférieur à vingt-quatre (24) semaines pour le basculeur et le banc de maintenance, ce délai réduit devient contractuel et constitue un engagement ferme de sa part. Ce délai d’exécution définitif est alors celui qui sera retenu au marché.</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1D768F7A"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w:t>
      </w:r>
      <w:r w:rsidR="005A67CC">
        <w:rPr>
          <w:rFonts w:ascii="Arial" w:hAnsi="Arial" w:cs="Arial"/>
          <w:sz w:val="20"/>
          <w:szCs w:val="20"/>
        </w:rPr>
        <w:t xml:space="preserve"> marché</w:t>
      </w:r>
      <w:r w:rsidRPr="00DC4013">
        <w:rPr>
          <w:rFonts w:ascii="Arial" w:hAnsi="Arial" w:cs="Arial"/>
          <w:sz w:val="20"/>
          <w:szCs w:val="20"/>
        </w:rPr>
        <w:t>,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5579124E" w:rsidR="00E83147" w:rsidRPr="00DC4013" w:rsidRDefault="005A67CC" w:rsidP="00E83147">
            <w:pPr>
              <w:pStyle w:val="texte"/>
              <w:ind w:left="0"/>
              <w:rPr>
                <w:rFonts w:cs="Arial"/>
              </w:rPr>
            </w:pPr>
            <w:r w:rsidRPr="005A67CC">
              <w:rPr>
                <w:rFonts w:cs="Arial"/>
              </w:rPr>
              <w:t xml:space="preserve">Terrai HUTCHINGS </w:t>
            </w:r>
            <w:r w:rsidRPr="005A67CC">
              <w:rPr>
                <w:rFonts w:cs="Arial"/>
              </w:rPr>
              <w:tab/>
            </w:r>
          </w:p>
        </w:tc>
        <w:tc>
          <w:tcPr>
            <w:tcW w:w="2440" w:type="dxa"/>
          </w:tcPr>
          <w:p w14:paraId="6ED430C7" w14:textId="0C22FBC2" w:rsidR="00E83147" w:rsidRPr="00DC4013" w:rsidRDefault="005A67CC" w:rsidP="00E83147">
            <w:pPr>
              <w:pStyle w:val="texte"/>
              <w:ind w:left="0"/>
              <w:rPr>
                <w:rFonts w:cs="Arial"/>
              </w:rPr>
            </w:pPr>
            <w:r w:rsidRPr="005A67CC">
              <w:rPr>
                <w:rFonts w:cs="Arial"/>
              </w:rPr>
              <w:t>04.42.19.95.09</w:t>
            </w:r>
          </w:p>
        </w:tc>
        <w:tc>
          <w:tcPr>
            <w:tcW w:w="2375" w:type="dxa"/>
          </w:tcPr>
          <w:p w14:paraId="5D6030BC" w14:textId="52A80386" w:rsidR="00E83147" w:rsidRPr="00DC4013" w:rsidRDefault="005A67CC" w:rsidP="00E83147">
            <w:pPr>
              <w:pStyle w:val="texte"/>
              <w:ind w:left="0"/>
              <w:rPr>
                <w:rFonts w:cs="Arial"/>
              </w:rPr>
            </w:pPr>
            <w:hyperlink r:id="rId11" w:history="1">
              <w:r w:rsidRPr="00893DD0">
                <w:rPr>
                  <w:rStyle w:val="Lienhypertexte"/>
                  <w:rFonts w:cs="Arial"/>
                </w:rPr>
                <w:t>terrai.hutchings@asnr.fr</w:t>
              </w:r>
            </w:hyperlink>
            <w:r>
              <w:rPr>
                <w:rFonts w:cs="Arial"/>
              </w:rPr>
              <w:t xml:space="preserve"> </w:t>
            </w:r>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6E03D458"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w:t>
      </w:r>
      <w:r w:rsidR="005A67CC">
        <w:rPr>
          <w:rFonts w:ascii="Arial" w:hAnsi="Arial" w:cs="Arial"/>
          <w:sz w:val="20"/>
          <w:szCs w:val="20"/>
        </w:rPr>
        <w:t xml:space="preserve"> marché</w:t>
      </w:r>
      <w:r w:rsidRPr="00DC4013">
        <w:rPr>
          <w:rFonts w:ascii="Arial" w:hAnsi="Arial" w:cs="Arial"/>
          <w:sz w:val="20"/>
          <w:szCs w:val="20"/>
        </w:rPr>
        <w:t>,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24F68FD2" w:rsidR="00E83147" w:rsidRPr="00DC4013" w:rsidRDefault="005A67CC" w:rsidP="00E83147">
            <w:pPr>
              <w:pStyle w:val="texte"/>
              <w:ind w:left="0"/>
              <w:rPr>
                <w:rFonts w:cs="Arial"/>
              </w:rPr>
            </w:pPr>
            <w:r w:rsidRPr="00192F7C">
              <w:rPr>
                <w:rFonts w:ascii="Aptos" w:hAnsi="Aptos" w:cs="Arial"/>
              </w:rPr>
              <w:t xml:space="preserve">Fabrice MARTIAL           </w:t>
            </w:r>
          </w:p>
        </w:tc>
        <w:tc>
          <w:tcPr>
            <w:tcW w:w="2440" w:type="dxa"/>
          </w:tcPr>
          <w:p w14:paraId="333C502D" w14:textId="217BC8E7" w:rsidR="00E83147" w:rsidRPr="00DC4013" w:rsidRDefault="005A67CC" w:rsidP="00E83147">
            <w:pPr>
              <w:pStyle w:val="texte"/>
              <w:ind w:left="0"/>
              <w:rPr>
                <w:rFonts w:cs="Arial"/>
              </w:rPr>
            </w:pPr>
            <w:r w:rsidRPr="00192F7C">
              <w:rPr>
                <w:rFonts w:ascii="Aptos" w:hAnsi="Aptos" w:cs="Arial"/>
              </w:rPr>
              <w:t>01.58.35.91.53</w:t>
            </w:r>
          </w:p>
        </w:tc>
        <w:tc>
          <w:tcPr>
            <w:tcW w:w="2375" w:type="dxa"/>
          </w:tcPr>
          <w:p w14:paraId="2BDC8BDE" w14:textId="7B3E88B3" w:rsidR="00E83147" w:rsidRPr="00DC4013" w:rsidRDefault="005A67CC" w:rsidP="00E83147">
            <w:pPr>
              <w:pStyle w:val="texte"/>
              <w:ind w:left="0"/>
              <w:rPr>
                <w:rFonts w:cs="Arial"/>
              </w:rPr>
            </w:pPr>
            <w:hyperlink r:id="rId12" w:history="1">
              <w:r w:rsidRPr="00893DD0">
                <w:rPr>
                  <w:rStyle w:val="Lienhypertexte"/>
                  <w:rFonts w:ascii="Aptos" w:hAnsi="Aptos" w:cs="Arial"/>
                </w:rPr>
                <w:t>fabrice.martial@asnr.fr</w:t>
              </w:r>
            </w:hyperlink>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1348F0F3" w14:textId="00372627" w:rsidR="00A61F2C" w:rsidRPr="00A61F2C" w:rsidRDefault="00A61F2C" w:rsidP="00A61F2C">
            <w:pPr>
              <w:pStyle w:val="texte"/>
              <w:ind w:left="0"/>
              <w:rPr>
                <w:rFonts w:cs="Arial"/>
              </w:rPr>
            </w:pPr>
            <w:r>
              <w:rPr>
                <w:rFonts w:cs="Arial"/>
              </w:rPr>
              <w:t>ASNR</w:t>
            </w:r>
            <w:r w:rsidRPr="00A61F2C">
              <w:rPr>
                <w:rFonts w:cs="Arial"/>
              </w:rPr>
              <w:t xml:space="preserve"> / PSN/RES-SIPR</w:t>
            </w:r>
          </w:p>
          <w:p w14:paraId="705057DE" w14:textId="77777777" w:rsidR="00A61F2C" w:rsidRPr="00A61F2C" w:rsidRDefault="00A61F2C" w:rsidP="00A61F2C">
            <w:pPr>
              <w:pStyle w:val="texte"/>
              <w:rPr>
                <w:rFonts w:cs="Arial"/>
              </w:rPr>
            </w:pPr>
            <w:r w:rsidRPr="00A61F2C">
              <w:rPr>
                <w:rFonts w:cs="Arial"/>
              </w:rPr>
              <w:lastRenderedPageBreak/>
              <w:t>BP 3</w:t>
            </w:r>
          </w:p>
          <w:p w14:paraId="5E07A5F2" w14:textId="5547C553" w:rsidR="00E83147" w:rsidRPr="00DC4013" w:rsidRDefault="00A61F2C" w:rsidP="00A61F2C">
            <w:pPr>
              <w:pStyle w:val="texte"/>
              <w:ind w:left="0"/>
              <w:rPr>
                <w:rFonts w:cs="Arial"/>
              </w:rPr>
            </w:pPr>
            <w:r w:rsidRPr="00A61F2C">
              <w:rPr>
                <w:rFonts w:cs="Arial"/>
              </w:rPr>
              <w:t>13115 Saint-Paul-Lez-Durance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lastRenderedPageBreak/>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8921520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8921520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0B04DDC5" w14:textId="1F476A83" w:rsidR="00B2420E" w:rsidRPr="00A61F2C" w:rsidRDefault="00B2420E" w:rsidP="00A61F2C">
      <w:pPr>
        <w:tabs>
          <w:tab w:val="left" w:pos="851"/>
        </w:tabs>
        <w:ind w:left="567"/>
        <w:rPr>
          <w:rFonts w:ascii="Arial" w:hAnsi="Arial" w:cs="Arial"/>
          <w:b/>
          <w:sz w:val="20"/>
          <w:szCs w:val="20"/>
        </w:rPr>
      </w:pPr>
      <w:r w:rsidRPr="00F22B61">
        <w:rPr>
          <w:rFonts w:ascii="Arial" w:hAnsi="Arial" w:cs="Arial"/>
          <w:b/>
          <w:sz w:val="20"/>
          <w:szCs w:val="20"/>
        </w:rPr>
        <w:t>La présente offre est acceptée </w:t>
      </w:r>
      <w:r w:rsidR="00A61F2C">
        <w:rPr>
          <w:rFonts w:ascii="Arial" w:hAnsi="Arial" w:cs="Arial"/>
          <w:b/>
          <w:sz w:val="20"/>
          <w:szCs w:val="20"/>
        </w:rPr>
        <w:t>pour l’ensemble du marché public n° […]</w:t>
      </w:r>
    </w:p>
    <w:p w14:paraId="4D5B0415" w14:textId="4792620C" w:rsidR="00B2420E" w:rsidRPr="00F22B61" w:rsidRDefault="00B2420E" w:rsidP="00A61F2C">
      <w:pPr>
        <w:ind w:left="567"/>
        <w:rPr>
          <w:rFonts w:ascii="Arial" w:hAnsi="Arial" w:cs="Arial"/>
          <w:b/>
          <w:sz w:val="20"/>
          <w:szCs w:val="20"/>
          <w:lang w:eastAsia="fr-FR"/>
        </w:rPr>
      </w:pPr>
      <w:r w:rsidRPr="00F22B61">
        <w:rPr>
          <w:rFonts w:ascii="Arial" w:hAnsi="Arial" w:cs="Arial"/>
          <w:b/>
          <w:sz w:val="20"/>
          <w:szCs w:val="20"/>
          <w:lang w:eastAsia="fr-FR"/>
        </w:rPr>
        <w:t>Elle est complétée par l</w:t>
      </w:r>
      <w:r w:rsidR="00A61F2C">
        <w:rPr>
          <w:rFonts w:ascii="Arial" w:hAnsi="Arial" w:cs="Arial"/>
          <w:b/>
          <w:sz w:val="20"/>
          <w:szCs w:val="20"/>
          <w:lang w:eastAsia="fr-FR"/>
        </w:rPr>
        <w:t>’</w:t>
      </w:r>
      <w:r w:rsidRPr="00F22B61">
        <w:rPr>
          <w:rFonts w:ascii="Arial" w:hAnsi="Arial" w:cs="Arial"/>
          <w:b/>
          <w:sz w:val="20"/>
          <w:szCs w:val="20"/>
          <w:lang w:eastAsia="fr-FR"/>
        </w:rPr>
        <w:t>annexe suivante :</w:t>
      </w:r>
    </w:p>
    <w:p w14:paraId="37B87544" w14:textId="67972255"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A61F2C">
        <w:rPr>
          <w:rFonts w:ascii="Arial" w:hAnsi="Arial" w:cs="Arial"/>
          <w:b/>
          <w:sz w:val="20"/>
          <w:szCs w:val="20"/>
          <w:lang w:eastAsia="fr-FR"/>
        </w:rPr>
        <w:t xml:space="preserve"> DPGF</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64C58C7F"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A61F2C">
        <w:rPr>
          <w:rFonts w:ascii="Arial" w:hAnsi="Arial" w:cs="Arial"/>
          <w:b/>
          <w:bCs/>
          <w:sz w:val="28"/>
          <w:szCs w:val="28"/>
        </w:rPr>
        <w:t xml:space="preserve"> DPGF</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3B7207"/>
    <w:multiLevelType w:val="hybridMultilevel"/>
    <w:tmpl w:val="529814B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D516C96"/>
    <w:multiLevelType w:val="hybridMultilevel"/>
    <w:tmpl w:val="25B87C54"/>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7"/>
  </w:num>
  <w:num w:numId="8" w16cid:durableId="1783961598">
    <w:abstractNumId w:val="40"/>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9"/>
  </w:num>
  <w:num w:numId="17" w16cid:durableId="647514358">
    <w:abstractNumId w:val="12"/>
  </w:num>
  <w:num w:numId="18" w16cid:durableId="2119834146">
    <w:abstractNumId w:val="24"/>
  </w:num>
  <w:num w:numId="19" w16cid:durableId="1792942614">
    <w:abstractNumId w:val="1"/>
  </w:num>
  <w:num w:numId="20" w16cid:durableId="953171258">
    <w:abstractNumId w:val="32"/>
  </w:num>
  <w:num w:numId="21" w16cid:durableId="913006212">
    <w:abstractNumId w:val="11"/>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8"/>
  </w:num>
  <w:num w:numId="30" w16cid:durableId="1030030730">
    <w:abstractNumId w:val="26"/>
  </w:num>
  <w:num w:numId="31" w16cid:durableId="841822667">
    <w:abstractNumId w:val="38"/>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6"/>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1351252717">
    <w:abstractNumId w:val="10"/>
  </w:num>
  <w:num w:numId="42" w16cid:durableId="303511795">
    <w:abstractNumId w:val="4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105A2"/>
    <w:rsid w:val="001435DB"/>
    <w:rsid w:val="00143E8D"/>
    <w:rsid w:val="00145EE0"/>
    <w:rsid w:val="00157C8E"/>
    <w:rsid w:val="001630E3"/>
    <w:rsid w:val="00167252"/>
    <w:rsid w:val="00184C3B"/>
    <w:rsid w:val="001C101B"/>
    <w:rsid w:val="001C3D6A"/>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D1133"/>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3F163C"/>
    <w:rsid w:val="00406753"/>
    <w:rsid w:val="0040721A"/>
    <w:rsid w:val="004120DA"/>
    <w:rsid w:val="00413BDA"/>
    <w:rsid w:val="0045009D"/>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7CC"/>
    <w:rsid w:val="005A6D75"/>
    <w:rsid w:val="005B478A"/>
    <w:rsid w:val="005D273B"/>
    <w:rsid w:val="005D7AD9"/>
    <w:rsid w:val="005E02DA"/>
    <w:rsid w:val="005E5EAE"/>
    <w:rsid w:val="006125CF"/>
    <w:rsid w:val="006218F4"/>
    <w:rsid w:val="00630307"/>
    <w:rsid w:val="00630B17"/>
    <w:rsid w:val="006371E4"/>
    <w:rsid w:val="00642F95"/>
    <w:rsid w:val="00643817"/>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26432"/>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32F94"/>
    <w:rsid w:val="00937391"/>
    <w:rsid w:val="00946006"/>
    <w:rsid w:val="00967C8A"/>
    <w:rsid w:val="00973330"/>
    <w:rsid w:val="0097483F"/>
    <w:rsid w:val="0097655D"/>
    <w:rsid w:val="00981CFE"/>
    <w:rsid w:val="00983141"/>
    <w:rsid w:val="009B0645"/>
    <w:rsid w:val="009B1CF8"/>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57C1E"/>
    <w:rsid w:val="00A61F2C"/>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fabrice.martial@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rrai.hutchings@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D1133"/>
    <w:rsid w:val="002E589E"/>
    <w:rsid w:val="003051E1"/>
    <w:rsid w:val="003346D8"/>
    <w:rsid w:val="00336845"/>
    <w:rsid w:val="00345336"/>
    <w:rsid w:val="0036004F"/>
    <w:rsid w:val="003A1ED6"/>
    <w:rsid w:val="003B62C2"/>
    <w:rsid w:val="003F163C"/>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13</Pages>
  <Words>1826</Words>
  <Characters>10049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41</cp:revision>
  <cp:lastPrinted>2023-04-04T08:25:00Z</cp:lastPrinted>
  <dcterms:created xsi:type="dcterms:W3CDTF">2025-01-31T08:53:00Z</dcterms:created>
  <dcterms:modified xsi:type="dcterms:W3CDTF">2025-07-03T09:25:00Z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